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Vadybininko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(pareigos)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Vardas Pavardė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(vardas, pavardė)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Uždarosios akcinės bendrovės 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Įmonės pavadinimas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Direktoriui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Direktoriaus vardas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PRAŠYMAS DĖL ATLEIDIMO IŠ DARBO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-04-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line="360" w:lineRule="auto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Vilnius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56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Prašau atleisti mane iš darbo nuo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balandžio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mėnesio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dienos (pagal DK 55 straipsnį).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 xml:space="preserve">................................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Vardas Pavardė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320"/>
          <w:tab w:val="left" w:pos="7560"/>
        </w:tabs>
        <w:spacing w:line="360" w:lineRule="auto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(parašas)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   </w:t>
        <w:tab/>
        <w:tab/>
        <w:tab/>
        <w:tab/>
        <w:tab/>
        <w:tab/>
        <w:tab/>
        <w:t xml:space="preserve">    </w:t>
        <w:tab/>
        <w:tab/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right="-874"/>
      <w:jc w:val="center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4eEWz6NA19p/iT3PYaHHJu4RQ==">AMUW2mWUmHpmarZgWj1SJwmIcZ5dNX2qfTe3oUMwSBzf9EZBBOg/bn9XIqn8FYYR+yXXHGLHJFbpAgoet1rKQPUr7AEG8k4lv+S+Au3UwX3mO2d6MEMb6Gc=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2020-04-09T09:03:00Z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